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6BE" w:rsidRDefault="00BE5FA7" w:rsidP="00BE5FA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</w:t>
      </w:r>
      <w:r w:rsidR="00B11628">
        <w:rPr>
          <w:b/>
          <w:sz w:val="24"/>
          <w:szCs w:val="24"/>
        </w:rPr>
        <w:t>3/1</w:t>
      </w:r>
      <w:r w:rsidR="00313E61">
        <w:rPr>
          <w:b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C63AFA" w:rsidRPr="003805E7" w:rsidRDefault="00C63AFA" w:rsidP="00C63AFA">
      <w:pPr>
        <w:spacing w:line="360" w:lineRule="auto"/>
      </w:pPr>
      <w:r w:rsidRPr="003805E7">
        <w:rPr>
          <w:b/>
          <w:bCs/>
        </w:rPr>
        <w:t>Wykonawca:</w:t>
      </w:r>
    </w:p>
    <w:p w:rsidR="00C63AFA" w:rsidRPr="003805E7" w:rsidRDefault="00C63AFA" w:rsidP="00C63AFA">
      <w:pPr>
        <w:spacing w:line="360" w:lineRule="auto"/>
      </w:pPr>
      <w:r w:rsidRPr="003805E7">
        <w:t>……………………………..</w:t>
      </w:r>
    </w:p>
    <w:p w:rsidR="00C63AFA" w:rsidRPr="003805E7" w:rsidRDefault="00C63AFA" w:rsidP="00C63AFA">
      <w:pPr>
        <w:spacing w:line="360" w:lineRule="auto"/>
      </w:pPr>
      <w:r w:rsidRPr="003805E7">
        <w:t>……………………………..</w:t>
      </w:r>
    </w:p>
    <w:p w:rsidR="00C63AFA" w:rsidRPr="003805E7" w:rsidRDefault="00C63AFA" w:rsidP="00C63AFA">
      <w:pPr>
        <w:spacing w:line="100" w:lineRule="atLeast"/>
      </w:pPr>
      <w:r w:rsidRPr="003805E7">
        <w:t>……………………………..</w:t>
      </w:r>
    </w:p>
    <w:p w:rsidR="00C63AFA" w:rsidRPr="003805E7" w:rsidRDefault="00C63AFA" w:rsidP="00C63AFA">
      <w:pPr>
        <w:spacing w:line="100" w:lineRule="atLeast"/>
      </w:pPr>
      <w:r w:rsidRPr="003805E7">
        <w:t>( nazwa firmy, adres, NIP/KRS)</w:t>
      </w:r>
    </w:p>
    <w:p w:rsidR="00C63AFA" w:rsidRPr="003805E7" w:rsidRDefault="00C63AFA" w:rsidP="00C63AFA">
      <w:pPr>
        <w:spacing w:line="100" w:lineRule="atLeast"/>
      </w:pPr>
    </w:p>
    <w:p w:rsidR="00C63AFA" w:rsidRPr="00C63AFA" w:rsidRDefault="00C63AFA" w:rsidP="00C63AFA">
      <w:pPr>
        <w:jc w:val="center"/>
        <w:rPr>
          <w:sz w:val="24"/>
          <w:szCs w:val="24"/>
        </w:rPr>
      </w:pPr>
      <w:r w:rsidRPr="00C63AFA">
        <w:rPr>
          <w:b/>
          <w:sz w:val="24"/>
          <w:szCs w:val="24"/>
        </w:rPr>
        <w:t>Parametry graniczne bezwzględnie wymagane dla automatycznego analizatora immunologicznego</w:t>
      </w:r>
      <w:r>
        <w:rPr>
          <w:b/>
          <w:sz w:val="24"/>
          <w:szCs w:val="24"/>
        </w:rPr>
        <w:t xml:space="preserve"> do pakietu nr 1.</w:t>
      </w:r>
    </w:p>
    <w:p w:rsidR="00C63AFA" w:rsidRDefault="00C63AFA" w:rsidP="00C63AFA">
      <w:pPr>
        <w:ind w:left="1440" w:hanging="1440"/>
        <w:rPr>
          <w:b/>
        </w:rPr>
      </w:pPr>
      <w:r>
        <w:t xml:space="preserve">Producent /Firma :                                                                                                                   Typ aparatu: </w:t>
      </w:r>
    </w:p>
    <w:p w:rsidR="00C63AFA" w:rsidRDefault="00C63AFA" w:rsidP="00C63AFA">
      <w:r>
        <w:t>Kraj pochodzenia :</w:t>
      </w:r>
      <w:r>
        <w:tab/>
      </w:r>
      <w:r>
        <w:tab/>
        <w:t xml:space="preserve">                                                                                         Rok produkcji :</w:t>
      </w:r>
    </w:p>
    <w:tbl>
      <w:tblPr>
        <w:tblW w:w="147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6237"/>
        <w:gridCol w:w="1900"/>
        <w:gridCol w:w="5953"/>
      </w:tblGrid>
      <w:tr w:rsidR="002C11E0" w:rsidRPr="000E6A7F" w:rsidTr="002C11E0">
        <w:trPr>
          <w:cantSplit/>
        </w:trPr>
        <w:tc>
          <w:tcPr>
            <w:tcW w:w="637" w:type="dxa"/>
            <w:shd w:val="pct20" w:color="auto" w:fill="auto"/>
          </w:tcPr>
          <w:p w:rsidR="002C11E0" w:rsidRPr="000E6A7F" w:rsidRDefault="002C11E0">
            <w:pPr>
              <w:rPr>
                <w:b/>
              </w:rPr>
            </w:pPr>
            <w:r w:rsidRPr="000E6A7F">
              <w:rPr>
                <w:b/>
              </w:rPr>
              <w:t>Lp.</w:t>
            </w:r>
          </w:p>
        </w:tc>
        <w:tc>
          <w:tcPr>
            <w:tcW w:w="6237" w:type="dxa"/>
            <w:tcBorders>
              <w:top w:val="single" w:sz="12" w:space="0" w:color="auto"/>
              <w:bottom w:val="nil"/>
            </w:tcBorders>
            <w:shd w:val="pct20" w:color="auto" w:fill="auto"/>
          </w:tcPr>
          <w:p w:rsidR="002C11E0" w:rsidRPr="000E6A7F" w:rsidRDefault="002C11E0">
            <w:pPr>
              <w:jc w:val="center"/>
              <w:rPr>
                <w:b/>
              </w:rPr>
            </w:pPr>
          </w:p>
          <w:p w:rsidR="002C11E0" w:rsidRPr="000E6A7F" w:rsidRDefault="002C11E0">
            <w:pPr>
              <w:jc w:val="center"/>
              <w:rPr>
                <w:b/>
              </w:rPr>
            </w:pPr>
            <w:r>
              <w:rPr>
                <w:b/>
              </w:rPr>
              <w:t>Parametry wymagane</w:t>
            </w:r>
          </w:p>
        </w:tc>
        <w:tc>
          <w:tcPr>
            <w:tcW w:w="1900" w:type="dxa"/>
            <w:shd w:val="pct20" w:color="auto" w:fill="auto"/>
          </w:tcPr>
          <w:p w:rsidR="002C11E0" w:rsidRPr="000E6A7F" w:rsidRDefault="002C11E0">
            <w:pPr>
              <w:jc w:val="center"/>
              <w:rPr>
                <w:b/>
              </w:rPr>
            </w:pPr>
          </w:p>
          <w:p w:rsidR="002C11E0" w:rsidRPr="000E6A7F" w:rsidRDefault="002C11E0">
            <w:pPr>
              <w:jc w:val="center"/>
              <w:rPr>
                <w:b/>
              </w:rPr>
            </w:pPr>
            <w:r w:rsidRPr="000E6A7F">
              <w:rPr>
                <w:b/>
              </w:rPr>
              <w:t xml:space="preserve"> </w:t>
            </w:r>
          </w:p>
          <w:p w:rsidR="002C11E0" w:rsidRPr="000E6A7F" w:rsidRDefault="002C11E0">
            <w:pPr>
              <w:jc w:val="center"/>
              <w:rPr>
                <w:b/>
              </w:rPr>
            </w:pPr>
            <w:r w:rsidRPr="000E6A7F">
              <w:rPr>
                <w:b/>
              </w:rPr>
              <w:t>TAK/NIE</w:t>
            </w:r>
          </w:p>
        </w:tc>
        <w:tc>
          <w:tcPr>
            <w:tcW w:w="5953" w:type="dxa"/>
            <w:shd w:val="pct20" w:color="auto" w:fill="auto"/>
          </w:tcPr>
          <w:p w:rsidR="002C11E0" w:rsidRDefault="002C11E0">
            <w:pPr>
              <w:jc w:val="center"/>
              <w:rPr>
                <w:b/>
              </w:rPr>
            </w:pPr>
          </w:p>
          <w:p w:rsidR="002C11E0" w:rsidRPr="000E6A7F" w:rsidRDefault="002C11E0">
            <w:pPr>
              <w:jc w:val="center"/>
              <w:rPr>
                <w:b/>
              </w:rPr>
            </w:pPr>
            <w:r>
              <w:rPr>
                <w:b/>
              </w:rPr>
              <w:t>Parametry oferowane/opis</w:t>
            </w: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jc w:val="center"/>
            </w:pPr>
            <w:r w:rsidRPr="000E6A7F">
              <w:rPr>
                <w:b/>
              </w:rPr>
              <w:t>1.</w:t>
            </w:r>
          </w:p>
        </w:tc>
        <w:tc>
          <w:tcPr>
            <w:tcW w:w="6237" w:type="dxa"/>
          </w:tcPr>
          <w:p w:rsidR="002C11E0" w:rsidRPr="000E6A7F" w:rsidRDefault="002C11E0">
            <w:pPr>
              <w:pStyle w:val="Stopka"/>
              <w:rPr>
                <w:sz w:val="20"/>
              </w:rPr>
            </w:pPr>
            <w:r w:rsidRPr="000E6A7F">
              <w:rPr>
                <w:sz w:val="20"/>
              </w:rPr>
              <w:t>Analizator immunochemiczny, nie starszy niż z roku 2010r.</w:t>
            </w:r>
          </w:p>
        </w:tc>
        <w:tc>
          <w:tcPr>
            <w:tcW w:w="1900" w:type="dxa"/>
          </w:tcPr>
          <w:p w:rsidR="002C11E0" w:rsidRPr="000E6A7F" w:rsidRDefault="002C11E0" w:rsidP="00ED724F">
            <w:pPr>
              <w:rPr>
                <w:iCs/>
              </w:rPr>
            </w:pPr>
          </w:p>
        </w:tc>
        <w:tc>
          <w:tcPr>
            <w:tcW w:w="5953" w:type="dxa"/>
          </w:tcPr>
          <w:p w:rsidR="002C11E0" w:rsidRPr="000E6A7F" w:rsidRDefault="002C11E0" w:rsidP="00ED724F">
            <w:pPr>
              <w:rPr>
                <w:iCs/>
              </w:rPr>
            </w:pPr>
          </w:p>
        </w:tc>
      </w:tr>
      <w:tr w:rsidR="002C11E0" w:rsidRPr="000E6A7F" w:rsidTr="002C11E0">
        <w:trPr>
          <w:trHeight w:val="397"/>
        </w:trPr>
        <w:tc>
          <w:tcPr>
            <w:tcW w:w="637" w:type="dxa"/>
          </w:tcPr>
          <w:p w:rsidR="002C11E0" w:rsidRPr="000E6A7F" w:rsidRDefault="002C11E0">
            <w:pPr>
              <w:jc w:val="center"/>
              <w:rPr>
                <w:b/>
              </w:rPr>
            </w:pPr>
            <w:r w:rsidRPr="000E6A7F">
              <w:rPr>
                <w:b/>
              </w:rPr>
              <w:t>2.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>Analizator w pełni automatyczny umożliwiający wykonywanie analiz w trybie „pacjent po pacjencie” oraz wykonywanie analiz w trybie pilnym bez konieczności zatrzymywania pracy analizatora.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rPr>
                <w:color w:val="000000"/>
                <w:lang w:eastAsia="ar-SA"/>
              </w:rPr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rPr>
                <w:color w:val="000000"/>
                <w:lang w:eastAsia="ar-SA"/>
              </w:rPr>
            </w:pPr>
          </w:p>
        </w:tc>
      </w:tr>
      <w:tr w:rsidR="002C11E0" w:rsidRPr="000E6A7F" w:rsidTr="002C11E0">
        <w:trPr>
          <w:trHeight w:val="397"/>
        </w:trPr>
        <w:tc>
          <w:tcPr>
            <w:tcW w:w="637" w:type="dxa"/>
          </w:tcPr>
          <w:p w:rsidR="002C11E0" w:rsidRPr="000E6A7F" w:rsidRDefault="002C11E0">
            <w:pPr>
              <w:jc w:val="center"/>
            </w:pPr>
            <w:r w:rsidRPr="000E6A7F">
              <w:rPr>
                <w:b/>
              </w:rPr>
              <w:t>3.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>Możliwość automatycznej analizy minimum 15 różnych parametrów jednocześnie z jednej próbki, przy użyciu metod chemiluminescencji.</w:t>
            </w:r>
          </w:p>
        </w:tc>
        <w:tc>
          <w:tcPr>
            <w:tcW w:w="1900" w:type="dxa"/>
          </w:tcPr>
          <w:p w:rsidR="002C11E0" w:rsidRPr="000E6A7F" w:rsidRDefault="002C11E0" w:rsidP="00FF6B9A"/>
        </w:tc>
        <w:tc>
          <w:tcPr>
            <w:tcW w:w="5953" w:type="dxa"/>
          </w:tcPr>
          <w:p w:rsidR="002C11E0" w:rsidRPr="000E6A7F" w:rsidRDefault="002C11E0" w:rsidP="00FF6B9A"/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jc w:val="center"/>
              <w:rPr>
                <w:b/>
              </w:rPr>
            </w:pPr>
            <w:r w:rsidRPr="000E6A7F">
              <w:rPr>
                <w:b/>
              </w:rPr>
              <w:t>4.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>Wydajność analizatora nie mniej niż 90 oznaczeń na godzinę.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5.</w:t>
            </w:r>
          </w:p>
        </w:tc>
        <w:tc>
          <w:tcPr>
            <w:tcW w:w="6237" w:type="dxa"/>
          </w:tcPr>
          <w:p w:rsidR="002C11E0" w:rsidRPr="000E6A7F" w:rsidRDefault="002C11E0">
            <w:pPr>
              <w:pStyle w:val="Stopka"/>
              <w:rPr>
                <w:sz w:val="20"/>
              </w:rPr>
            </w:pPr>
            <w:r w:rsidRPr="000E6A7F">
              <w:rPr>
                <w:sz w:val="20"/>
              </w:rPr>
              <w:t xml:space="preserve">Chłodzone miejsca odczynnikowe </w:t>
            </w:r>
          </w:p>
          <w:p w:rsidR="002C11E0" w:rsidRPr="000E6A7F" w:rsidRDefault="002C11E0">
            <w:r w:rsidRPr="000E6A7F">
              <w:t xml:space="preserve"> (chłodzenie odczynników na pokładzie analizatora do temp. lodówki 2-12 st. C)</w:t>
            </w:r>
          </w:p>
        </w:tc>
        <w:tc>
          <w:tcPr>
            <w:tcW w:w="1900" w:type="dxa"/>
          </w:tcPr>
          <w:p w:rsidR="002C11E0" w:rsidRPr="000E6A7F" w:rsidRDefault="002C11E0" w:rsidP="00FF6B9A"/>
        </w:tc>
        <w:tc>
          <w:tcPr>
            <w:tcW w:w="5953" w:type="dxa"/>
          </w:tcPr>
          <w:p w:rsidR="002C11E0" w:rsidRPr="000E6A7F" w:rsidRDefault="002C11E0" w:rsidP="00FF6B9A"/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6.</w:t>
            </w:r>
          </w:p>
        </w:tc>
        <w:tc>
          <w:tcPr>
            <w:tcW w:w="6237" w:type="dxa"/>
          </w:tcPr>
          <w:p w:rsidR="002C11E0" w:rsidRPr="000E6A7F" w:rsidRDefault="002C11E0" w:rsidP="00075C38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 xml:space="preserve">Wszystkie oferowane odczynniki, kalibratory i kontrole gotowe do bezpośredniego użycia, bez konieczności </w:t>
            </w:r>
            <w:proofErr w:type="spellStart"/>
            <w:r w:rsidRPr="000E6A7F">
              <w:rPr>
                <w:color w:val="000000"/>
                <w:lang w:eastAsia="ar-SA"/>
              </w:rPr>
              <w:t>rekonstytucji</w:t>
            </w:r>
            <w:proofErr w:type="spellEnd"/>
            <w:r w:rsidRPr="000E6A7F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7.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>Trwałość odczynników i kalibratorów po otwarciu do terminu ważności podanego na opakowaniu.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8.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 xml:space="preserve">Dla testów HIV , </w:t>
            </w:r>
            <w:proofErr w:type="spellStart"/>
            <w:r w:rsidRPr="000E6A7F">
              <w:rPr>
                <w:color w:val="000000"/>
                <w:lang w:eastAsia="ar-SA"/>
              </w:rPr>
              <w:t>HBsAg</w:t>
            </w:r>
            <w:proofErr w:type="spellEnd"/>
            <w:r w:rsidRPr="000E6A7F">
              <w:rPr>
                <w:color w:val="000000"/>
                <w:lang w:eastAsia="ar-SA"/>
              </w:rPr>
              <w:t xml:space="preserve"> , HCV wyniki muszą być jednoznacznie interpretowane w oparciu o wyznaczony  </w:t>
            </w:r>
            <w:proofErr w:type="spellStart"/>
            <w:r w:rsidRPr="000E6A7F">
              <w:rPr>
                <w:color w:val="000000"/>
                <w:lang w:eastAsia="ar-SA"/>
              </w:rPr>
              <w:t>cut</w:t>
            </w:r>
            <w:proofErr w:type="spellEnd"/>
            <w:r w:rsidRPr="000E6A7F">
              <w:rPr>
                <w:color w:val="000000"/>
                <w:lang w:eastAsia="ar-SA"/>
              </w:rPr>
              <w:t>-off bez podawania wartości granicznej tzw. szarej strefy.</w:t>
            </w:r>
          </w:p>
        </w:tc>
        <w:tc>
          <w:tcPr>
            <w:tcW w:w="1900" w:type="dxa"/>
          </w:tcPr>
          <w:p w:rsidR="002C11E0" w:rsidRPr="000E6A7F" w:rsidRDefault="002C11E0" w:rsidP="0077067E">
            <w:pPr>
              <w:snapToGrid w:val="0"/>
            </w:pPr>
          </w:p>
        </w:tc>
        <w:tc>
          <w:tcPr>
            <w:tcW w:w="5953" w:type="dxa"/>
          </w:tcPr>
          <w:p w:rsidR="002C11E0" w:rsidRPr="000E6A7F" w:rsidRDefault="002C11E0" w:rsidP="0077067E">
            <w:pPr>
              <w:snapToGrid w:val="0"/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9.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>Analizator podaje czas zakończenia badania.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 xml:space="preserve">10. 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 xml:space="preserve">Brak strat odczynnika w przypadku obecności </w:t>
            </w:r>
            <w:proofErr w:type="spellStart"/>
            <w:r w:rsidRPr="000E6A7F">
              <w:rPr>
                <w:color w:val="000000"/>
                <w:lang w:eastAsia="ar-SA"/>
              </w:rPr>
              <w:t>mikroskrzepu</w:t>
            </w:r>
            <w:proofErr w:type="spellEnd"/>
            <w:r w:rsidRPr="000E6A7F">
              <w:rPr>
                <w:color w:val="000000"/>
                <w:lang w:eastAsia="ar-SA"/>
              </w:rPr>
              <w:t xml:space="preserve"> lub pęcherzyka powietrza w próbce badanej. Aparat w pierwszej kolejności sprawdza jakość próbki badanej a potem dozuje odczynnik konieczny do wykonania badania.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11.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>Możliwość wykonywania wszystkich badań wyszczególnionych w formularzu asortymentowo-cenowym na oferowanym analizatorze.</w:t>
            </w:r>
          </w:p>
        </w:tc>
        <w:tc>
          <w:tcPr>
            <w:tcW w:w="1900" w:type="dxa"/>
          </w:tcPr>
          <w:p w:rsidR="002C11E0" w:rsidRPr="000E6A7F" w:rsidRDefault="002C11E0" w:rsidP="00FF6B9A"/>
        </w:tc>
        <w:tc>
          <w:tcPr>
            <w:tcW w:w="5953" w:type="dxa"/>
          </w:tcPr>
          <w:p w:rsidR="002C11E0" w:rsidRPr="000E6A7F" w:rsidRDefault="002C11E0" w:rsidP="00FF6B9A"/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lastRenderedPageBreak/>
              <w:t>12.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</w:rPr>
            </w:pPr>
            <w:r w:rsidRPr="000E6A7F">
              <w:rPr>
                <w:color w:val="000000"/>
              </w:rPr>
              <w:t>Wszystkie odczynniki muszą pochodzić od tego samego producenta, co oferowany analizator.</w:t>
            </w:r>
          </w:p>
        </w:tc>
        <w:tc>
          <w:tcPr>
            <w:tcW w:w="1900" w:type="dxa"/>
          </w:tcPr>
          <w:p w:rsidR="002C11E0" w:rsidRPr="000E6A7F" w:rsidRDefault="002C11E0" w:rsidP="0077067E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5953" w:type="dxa"/>
          </w:tcPr>
          <w:p w:rsidR="002C11E0" w:rsidRPr="000E6A7F" w:rsidRDefault="002C11E0" w:rsidP="0077067E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13.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</w:rPr>
            </w:pPr>
            <w:r w:rsidRPr="000E6A7F">
              <w:rPr>
                <w:color w:val="000000"/>
                <w:lang w:eastAsia="ar-SA"/>
              </w:rPr>
              <w:t>Odczynniki gotowe do wstawienia do karuzeli odczynnikowej bezpośrednio po wyjęciu z lodówki. (bez konieczności ogrzewania)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14.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</w:rPr>
            </w:pPr>
            <w:r w:rsidRPr="000E6A7F">
              <w:rPr>
                <w:color w:val="000000"/>
              </w:rPr>
              <w:t>Możliwość jednoczesnego umieszczenia w analizatorze min. 60 próbek.</w:t>
            </w:r>
          </w:p>
        </w:tc>
        <w:tc>
          <w:tcPr>
            <w:tcW w:w="1900" w:type="dxa"/>
          </w:tcPr>
          <w:p w:rsidR="002C11E0" w:rsidRPr="000E6A7F" w:rsidRDefault="002C11E0" w:rsidP="003B6727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5953" w:type="dxa"/>
          </w:tcPr>
          <w:p w:rsidR="002C11E0" w:rsidRPr="000E6A7F" w:rsidRDefault="002C11E0" w:rsidP="003B6727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15.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</w:rPr>
            </w:pPr>
            <w:r w:rsidRPr="000E6A7F">
              <w:rPr>
                <w:color w:val="000000"/>
              </w:rPr>
              <w:t>Możliwość pracy na analizatorze z wykorzystaniem próbek pierwotnych.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16.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  <w:rPr>
                <w:color w:val="000000"/>
              </w:rPr>
            </w:pPr>
            <w:r w:rsidRPr="000E6A7F">
              <w:rPr>
                <w:color w:val="000000"/>
              </w:rPr>
              <w:t>Analizator pracujący z wykorzystaniem jednego rodzaju statywu dla próbek pierwotnych i wtórnych o różnej objętości oraz dla różnego materiału badanego.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17.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</w:pPr>
            <w:r w:rsidRPr="000E6A7F">
              <w:rPr>
                <w:color w:val="000000"/>
              </w:rPr>
              <w:t>Stałe monitorowanie poziomu odczynników i materiałów zużywalnych na pokładzie analizatora.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18</w:t>
            </w:r>
          </w:p>
        </w:tc>
        <w:tc>
          <w:tcPr>
            <w:tcW w:w="6237" w:type="dxa"/>
          </w:tcPr>
          <w:p w:rsidR="002C11E0" w:rsidRPr="000E6A7F" w:rsidRDefault="002C11E0">
            <w:pPr>
              <w:snapToGrid w:val="0"/>
            </w:pPr>
            <w:r w:rsidRPr="000E6A7F">
              <w:t xml:space="preserve">Analizator wyposażony we wbudowany system kontroli jakości z możliwością graficznej prezentacji (wykresy </w:t>
            </w:r>
            <w:proofErr w:type="spellStart"/>
            <w:r w:rsidRPr="000E6A7F">
              <w:t>Levey-Jeningsa</w:t>
            </w:r>
            <w:proofErr w:type="spellEnd"/>
            <w:r w:rsidRPr="000E6A7F">
              <w:t>)</w:t>
            </w:r>
          </w:p>
        </w:tc>
        <w:tc>
          <w:tcPr>
            <w:tcW w:w="1900" w:type="dxa"/>
          </w:tcPr>
          <w:p w:rsidR="002C11E0" w:rsidRPr="000E6A7F" w:rsidRDefault="002C11E0" w:rsidP="00FF6B9A">
            <w:pPr>
              <w:snapToGrid w:val="0"/>
            </w:pPr>
          </w:p>
        </w:tc>
        <w:tc>
          <w:tcPr>
            <w:tcW w:w="5953" w:type="dxa"/>
          </w:tcPr>
          <w:p w:rsidR="002C11E0" w:rsidRPr="000E6A7F" w:rsidRDefault="002C11E0" w:rsidP="00FF6B9A">
            <w:pPr>
              <w:snapToGrid w:val="0"/>
            </w:pPr>
          </w:p>
        </w:tc>
      </w:tr>
      <w:tr w:rsidR="002C11E0" w:rsidRPr="000E6A7F" w:rsidTr="002C11E0">
        <w:tc>
          <w:tcPr>
            <w:tcW w:w="637" w:type="dxa"/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19.</w:t>
            </w:r>
          </w:p>
        </w:tc>
        <w:tc>
          <w:tcPr>
            <w:tcW w:w="6237" w:type="dxa"/>
          </w:tcPr>
          <w:p w:rsidR="002C11E0" w:rsidRPr="000E6A7F" w:rsidRDefault="002C11E0">
            <w:r w:rsidRPr="000E6A7F">
              <w:rPr>
                <w:color w:val="000000"/>
                <w:lang w:eastAsia="ar-SA"/>
              </w:rPr>
              <w:t>Stabilność kalibracji minimum 30 dni dla wszystkich parametrów.</w:t>
            </w:r>
          </w:p>
        </w:tc>
        <w:tc>
          <w:tcPr>
            <w:tcW w:w="1900" w:type="dxa"/>
          </w:tcPr>
          <w:p w:rsidR="002C11E0" w:rsidRPr="000E6A7F" w:rsidRDefault="002C11E0" w:rsidP="00FF6B9A"/>
        </w:tc>
        <w:tc>
          <w:tcPr>
            <w:tcW w:w="5953" w:type="dxa"/>
          </w:tcPr>
          <w:p w:rsidR="002C11E0" w:rsidRPr="000E6A7F" w:rsidRDefault="002C11E0" w:rsidP="00FF6B9A"/>
        </w:tc>
      </w:tr>
      <w:tr w:rsidR="002C11E0" w:rsidRPr="000E6A7F" w:rsidTr="002C11E0">
        <w:trPr>
          <w:trHeight w:val="810"/>
        </w:trPr>
        <w:tc>
          <w:tcPr>
            <w:tcW w:w="637" w:type="dxa"/>
            <w:tcBorders>
              <w:top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20.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2C11E0" w:rsidRPr="000E6A7F" w:rsidRDefault="002C11E0">
            <w:r w:rsidRPr="000E6A7F">
              <w:t>Możliwość wykonywania automatycznego rozcieńczenia próbek</w:t>
            </w:r>
          </w:p>
        </w:tc>
        <w:tc>
          <w:tcPr>
            <w:tcW w:w="1900" w:type="dxa"/>
            <w:tcBorders>
              <w:top w:val="single" w:sz="4" w:space="0" w:color="auto"/>
            </w:tcBorders>
          </w:tcPr>
          <w:p w:rsidR="002C11E0" w:rsidRPr="000E6A7F" w:rsidRDefault="002C11E0" w:rsidP="00FF6B9A"/>
        </w:tc>
        <w:tc>
          <w:tcPr>
            <w:tcW w:w="5953" w:type="dxa"/>
            <w:tcBorders>
              <w:top w:val="single" w:sz="4" w:space="0" w:color="auto"/>
            </w:tcBorders>
          </w:tcPr>
          <w:p w:rsidR="002C11E0" w:rsidRPr="000E6A7F" w:rsidRDefault="002C11E0" w:rsidP="00FF6B9A"/>
        </w:tc>
      </w:tr>
      <w:tr w:rsidR="002C11E0" w:rsidRPr="000E6A7F" w:rsidTr="002C11E0">
        <w:trPr>
          <w:trHeight w:val="636"/>
        </w:trPr>
        <w:tc>
          <w:tcPr>
            <w:tcW w:w="637" w:type="dxa"/>
            <w:tcBorders>
              <w:bottom w:val="nil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21.</w:t>
            </w:r>
          </w:p>
        </w:tc>
        <w:tc>
          <w:tcPr>
            <w:tcW w:w="6237" w:type="dxa"/>
            <w:tcBorders>
              <w:bottom w:val="nil"/>
            </w:tcBorders>
          </w:tcPr>
          <w:p w:rsidR="002C11E0" w:rsidRPr="000E6A7F" w:rsidRDefault="002C11E0">
            <w:pPr>
              <w:rPr>
                <w:i/>
              </w:rPr>
            </w:pPr>
            <w:r w:rsidRPr="000E6A7F">
              <w:t>Możliwość automatycznego wykonywania powtórzeń oznaczeń.</w:t>
            </w:r>
          </w:p>
        </w:tc>
        <w:tc>
          <w:tcPr>
            <w:tcW w:w="1900" w:type="dxa"/>
            <w:tcBorders>
              <w:bottom w:val="nil"/>
            </w:tcBorders>
          </w:tcPr>
          <w:p w:rsidR="002C11E0" w:rsidRPr="000E6A7F" w:rsidRDefault="002C11E0" w:rsidP="00FF6B9A">
            <w:pPr>
              <w:rPr>
                <w:i/>
              </w:rPr>
            </w:pPr>
          </w:p>
        </w:tc>
        <w:tc>
          <w:tcPr>
            <w:tcW w:w="5953" w:type="dxa"/>
            <w:tcBorders>
              <w:bottom w:val="nil"/>
            </w:tcBorders>
          </w:tcPr>
          <w:p w:rsidR="002C11E0" w:rsidRPr="000E6A7F" w:rsidRDefault="002C11E0" w:rsidP="00FF6B9A">
            <w:pPr>
              <w:rPr>
                <w:i/>
              </w:rPr>
            </w:pPr>
          </w:p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22.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r w:rsidRPr="000E6A7F">
              <w:t>Materiał badany i odczynniki identyfikowane za pomocą kodów kreskowych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23.</w:t>
            </w:r>
          </w:p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r w:rsidRPr="000E6A7F">
              <w:t>Możliwość dostawiania próbek i odczynników w trakcie pracy analizatora bez konieczności wprowadzania analizatora w stan pauzy.( stan gotowości, stand by)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r w:rsidRPr="000E6A7F">
              <w:t xml:space="preserve">Czas otrzymania wyniku dla każdego parametru max. 40 minut od czasu wstawienia próbki do analizatora. 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23.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r w:rsidRPr="000E6A7F">
              <w:t>Detektor skrzepów badanej próbki oraz bąbelków powietrza (piany) dla odczynników i próbek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24.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pStyle w:val="Stopka"/>
              <w:rPr>
                <w:sz w:val="20"/>
              </w:rPr>
            </w:pPr>
            <w:r w:rsidRPr="000E6A7F">
              <w:rPr>
                <w:sz w:val="20"/>
              </w:rPr>
              <w:t>Analizator wyposażony w drukarkę dającą możliwość bezpośredniego wydruku, skaner kodów kreskowych, komputer i monitor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>
            <w:pPr>
              <w:pStyle w:val="Stopka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>
            <w:pPr>
              <w:pStyle w:val="Stopka"/>
              <w:rPr>
                <w:sz w:val="20"/>
              </w:rPr>
            </w:pPr>
          </w:p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25.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1E0" w:rsidRPr="000E6A7F" w:rsidRDefault="002C11E0">
            <w:r w:rsidRPr="000E6A7F">
              <w:t>Analizator wyposażony w UPS.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11E0" w:rsidRPr="000E6A7F" w:rsidRDefault="002C11E0" w:rsidP="00FF6B9A"/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/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26.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pStyle w:val="Stopka"/>
              <w:rPr>
                <w:sz w:val="20"/>
              </w:rPr>
            </w:pPr>
            <w:r w:rsidRPr="000E6A7F">
              <w:rPr>
                <w:sz w:val="20"/>
              </w:rPr>
              <w:t xml:space="preserve">Włączenie aparatu do istniejącego w Laboratorium systemu komputerowego. 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>
            <w:pPr>
              <w:pStyle w:val="Stopka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>
            <w:pPr>
              <w:pStyle w:val="Stopka"/>
              <w:rPr>
                <w:sz w:val="20"/>
              </w:rPr>
            </w:pPr>
          </w:p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pacing w:line="360" w:lineRule="auto"/>
              <w:jc w:val="center"/>
              <w:rPr>
                <w:b/>
              </w:rPr>
            </w:pPr>
            <w:r w:rsidRPr="000E6A7F">
              <w:rPr>
                <w:b/>
              </w:rPr>
              <w:t>27.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>Pełny serwis analizatora przez okres trwania umowy,24 godziny na dobę na koszt Wykonawcy.</w:t>
            </w:r>
          </w:p>
          <w:p w:rsidR="002C11E0" w:rsidRPr="000E6A7F" w:rsidRDefault="002C11E0">
            <w:pPr>
              <w:pStyle w:val="Stopka"/>
              <w:rPr>
                <w:sz w:val="20"/>
              </w:rPr>
            </w:pP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>
            <w:pPr>
              <w:pStyle w:val="Stopka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>
            <w:pPr>
              <w:pStyle w:val="Stopka"/>
              <w:rPr>
                <w:sz w:val="20"/>
              </w:rPr>
            </w:pPr>
          </w:p>
        </w:tc>
      </w:tr>
      <w:tr w:rsidR="003A5EA2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3A5EA2" w:rsidRPr="000E6A7F" w:rsidRDefault="003A5E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28.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A5EA2" w:rsidRPr="000E6A7F" w:rsidRDefault="003A5EA2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 xml:space="preserve">Zapewnienie bezpłatnej zewnętrznej międzynarodowej kontroli jakości dla parametrów: HCV, HIV, </w:t>
            </w:r>
            <w:proofErr w:type="spellStart"/>
            <w:r>
              <w:rPr>
                <w:color w:val="000000"/>
                <w:lang w:eastAsia="ar-SA"/>
              </w:rPr>
              <w:t>HBSAg</w:t>
            </w:r>
            <w:proofErr w:type="spellEnd"/>
            <w:r>
              <w:rPr>
                <w:color w:val="000000"/>
                <w:lang w:eastAsia="ar-SA"/>
              </w:rPr>
              <w:t xml:space="preserve"> (1x kwartał).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3A5EA2" w:rsidRPr="000E6A7F" w:rsidRDefault="003A5EA2" w:rsidP="00FF6B9A">
            <w:pPr>
              <w:pStyle w:val="Stopka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A5EA2" w:rsidRPr="000E6A7F" w:rsidRDefault="003A5EA2" w:rsidP="00FF6B9A">
            <w:pPr>
              <w:pStyle w:val="Stopka"/>
              <w:rPr>
                <w:sz w:val="20"/>
              </w:rPr>
            </w:pPr>
          </w:p>
        </w:tc>
      </w:tr>
      <w:tr w:rsidR="003A5EA2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3A5EA2" w:rsidRPr="000E6A7F" w:rsidRDefault="003A5E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29.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3A5EA2" w:rsidRPr="000E6A7F" w:rsidRDefault="003A5EA2">
            <w:pPr>
              <w:snapToGrid w:val="0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W przypadku wystąpienia 3 awarii, niesprawności aparatu, w okresie 6 m-</w:t>
            </w:r>
            <w:proofErr w:type="spellStart"/>
            <w:r>
              <w:rPr>
                <w:color w:val="000000"/>
                <w:lang w:eastAsia="ar-SA"/>
              </w:rPr>
              <w:t>cy</w:t>
            </w:r>
            <w:proofErr w:type="spellEnd"/>
            <w:r>
              <w:rPr>
                <w:color w:val="000000"/>
                <w:lang w:eastAsia="ar-SA"/>
              </w:rPr>
              <w:t xml:space="preserve"> wymiana analizatora.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3A5EA2" w:rsidRPr="000E6A7F" w:rsidRDefault="003A5EA2" w:rsidP="00FF6B9A">
            <w:pPr>
              <w:pStyle w:val="Stopka"/>
              <w:rPr>
                <w:sz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3A5EA2" w:rsidRPr="000E6A7F" w:rsidRDefault="003A5EA2" w:rsidP="00FF6B9A">
            <w:pPr>
              <w:pStyle w:val="Stopka"/>
              <w:rPr>
                <w:sz w:val="20"/>
              </w:rPr>
            </w:pPr>
          </w:p>
        </w:tc>
      </w:tr>
      <w:tr w:rsidR="002C11E0" w:rsidRPr="000E6A7F" w:rsidTr="002C11E0"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3A5E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2C11E0" w:rsidRPr="000E6A7F">
              <w:rPr>
                <w:b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>
            <w:pPr>
              <w:snapToGrid w:val="0"/>
              <w:rPr>
                <w:color w:val="000000"/>
                <w:lang w:eastAsia="ar-SA"/>
              </w:rPr>
            </w:pPr>
            <w:r w:rsidRPr="000E6A7F">
              <w:rPr>
                <w:color w:val="000000"/>
                <w:lang w:eastAsia="ar-SA"/>
              </w:rPr>
              <w:t>Wykonawca dostarczy lodówkę umożliwiającą przechowywanie odczynników poza pokładem analizatora.</w:t>
            </w:r>
          </w:p>
        </w:tc>
        <w:tc>
          <w:tcPr>
            <w:tcW w:w="1900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</w:tcPr>
          <w:p w:rsidR="002C11E0" w:rsidRPr="000E6A7F" w:rsidRDefault="002C11E0" w:rsidP="00FF6B9A">
            <w:pPr>
              <w:snapToGrid w:val="0"/>
              <w:rPr>
                <w:color w:val="000000"/>
                <w:lang w:eastAsia="ar-SA"/>
              </w:rPr>
            </w:pPr>
          </w:p>
        </w:tc>
      </w:tr>
    </w:tbl>
    <w:p w:rsidR="009416BE" w:rsidRPr="000E6A7F" w:rsidRDefault="009416BE">
      <w:pPr>
        <w:pStyle w:val="Tekstpodstawowy"/>
        <w:rPr>
          <w:rFonts w:ascii="Times New Roman" w:hAnsi="Times New Roman"/>
          <w:sz w:val="20"/>
        </w:rPr>
      </w:pPr>
    </w:p>
    <w:p w:rsidR="009416BE" w:rsidRPr="00C63AFA" w:rsidRDefault="009416BE">
      <w:pPr>
        <w:pStyle w:val="Tekstpodstawowy"/>
        <w:rPr>
          <w:rFonts w:ascii="Times New Roman" w:hAnsi="Times New Roman"/>
          <w:b w:val="0"/>
          <w:i/>
          <w:sz w:val="20"/>
        </w:rPr>
      </w:pPr>
      <w:r w:rsidRPr="00C63AFA">
        <w:rPr>
          <w:rFonts w:ascii="Times New Roman" w:hAnsi="Times New Roman"/>
          <w:b w:val="0"/>
          <w:i/>
          <w:sz w:val="20"/>
        </w:rPr>
        <w:t>Niespełnienie któregokolwiek z wyżej wymienionych parametrów spowoduje odrzucenie oferty.</w:t>
      </w:r>
    </w:p>
    <w:p w:rsidR="009416BE" w:rsidRPr="000E6A7F" w:rsidRDefault="009416BE">
      <w:pPr>
        <w:pStyle w:val="Tekstpodstawowy"/>
        <w:rPr>
          <w:rFonts w:ascii="Times New Roman" w:hAnsi="Times New Roman"/>
          <w:sz w:val="20"/>
        </w:rPr>
      </w:pPr>
    </w:p>
    <w:p w:rsidR="009416BE" w:rsidRPr="000E6A7F" w:rsidRDefault="009416BE">
      <w:pPr>
        <w:jc w:val="both"/>
      </w:pPr>
    </w:p>
    <w:p w:rsidR="00C63AFA" w:rsidRPr="00C63AFA" w:rsidRDefault="00C63AFA" w:rsidP="00C63AFA">
      <w:pPr>
        <w:jc w:val="both"/>
        <w:rPr>
          <w:sz w:val="24"/>
          <w:szCs w:val="24"/>
        </w:rPr>
      </w:pPr>
      <w:r w:rsidRPr="00C63AFA">
        <w:rPr>
          <w:b/>
          <w:sz w:val="24"/>
          <w:szCs w:val="24"/>
        </w:rPr>
        <w:t>Informacje podane przez Wykonawcę do przeliczenia punktów w kryterium jakościowym:</w:t>
      </w:r>
    </w:p>
    <w:p w:rsidR="00FE4072" w:rsidRPr="00C63AFA" w:rsidRDefault="00FE4072" w:rsidP="0082646D">
      <w:pPr>
        <w:jc w:val="center"/>
        <w:rPr>
          <w:b/>
          <w:sz w:val="16"/>
          <w:szCs w:val="16"/>
        </w:rPr>
      </w:pPr>
    </w:p>
    <w:tbl>
      <w:tblPr>
        <w:tblW w:w="135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245"/>
        <w:gridCol w:w="3742"/>
        <w:gridCol w:w="3913"/>
      </w:tblGrid>
      <w:tr w:rsidR="0082646D" w:rsidTr="00C63AFA">
        <w:trPr>
          <w:cantSplit/>
        </w:trPr>
        <w:tc>
          <w:tcPr>
            <w:tcW w:w="637" w:type="dxa"/>
            <w:shd w:val="pct20" w:color="auto" w:fill="auto"/>
          </w:tcPr>
          <w:p w:rsidR="0082646D" w:rsidRPr="00C63AFA" w:rsidRDefault="0082646D" w:rsidP="00C92290">
            <w:pPr>
              <w:rPr>
                <w:b/>
              </w:rPr>
            </w:pPr>
            <w:r w:rsidRPr="00C63AFA">
              <w:rPr>
                <w:b/>
              </w:rPr>
              <w:t>Lp.</w:t>
            </w:r>
          </w:p>
        </w:tc>
        <w:tc>
          <w:tcPr>
            <w:tcW w:w="5245" w:type="dxa"/>
            <w:tcBorders>
              <w:top w:val="single" w:sz="12" w:space="0" w:color="auto"/>
              <w:bottom w:val="nil"/>
            </w:tcBorders>
            <w:shd w:val="pct20" w:color="auto" w:fill="auto"/>
          </w:tcPr>
          <w:p w:rsidR="0082646D" w:rsidRPr="00C63AFA" w:rsidRDefault="0082646D" w:rsidP="00C92290">
            <w:pPr>
              <w:jc w:val="center"/>
              <w:rPr>
                <w:b/>
              </w:rPr>
            </w:pPr>
          </w:p>
          <w:p w:rsidR="0082646D" w:rsidRPr="00C63AFA" w:rsidRDefault="0082646D" w:rsidP="00C92290">
            <w:pPr>
              <w:jc w:val="center"/>
              <w:rPr>
                <w:b/>
              </w:rPr>
            </w:pPr>
            <w:r w:rsidRPr="00C63AFA">
              <w:rPr>
                <w:b/>
              </w:rPr>
              <w:t>PARAMETR</w:t>
            </w:r>
          </w:p>
        </w:tc>
        <w:tc>
          <w:tcPr>
            <w:tcW w:w="3742" w:type="dxa"/>
            <w:shd w:val="pct20" w:color="auto" w:fill="auto"/>
          </w:tcPr>
          <w:p w:rsidR="0082646D" w:rsidRDefault="00C63AFA" w:rsidP="00C92290">
            <w:pPr>
              <w:jc w:val="center"/>
              <w:rPr>
                <w:rFonts w:ascii="Arial" w:hAnsi="Arial"/>
                <w:b/>
                <w:sz w:val="24"/>
              </w:rPr>
            </w:pPr>
            <w:r w:rsidRPr="00E30A26">
              <w:rPr>
                <w:b/>
              </w:rPr>
              <w:t>TAK/NIE</w:t>
            </w:r>
          </w:p>
        </w:tc>
        <w:tc>
          <w:tcPr>
            <w:tcW w:w="3913" w:type="dxa"/>
            <w:shd w:val="pct20" w:color="auto" w:fill="auto"/>
          </w:tcPr>
          <w:p w:rsidR="0082646D" w:rsidRDefault="00C63AFA" w:rsidP="00C92290">
            <w:pPr>
              <w:jc w:val="center"/>
              <w:rPr>
                <w:rFonts w:ascii="Arial" w:hAnsi="Arial"/>
                <w:b/>
                <w:sz w:val="22"/>
              </w:rPr>
            </w:pPr>
            <w:r w:rsidRPr="00E30A26">
              <w:rPr>
                <w:b/>
              </w:rPr>
              <w:t>Liczba punktów</w:t>
            </w:r>
          </w:p>
        </w:tc>
      </w:tr>
      <w:tr w:rsidR="0082646D" w:rsidRPr="002C11E0" w:rsidTr="003A5EA2">
        <w:trPr>
          <w:trHeight w:val="530"/>
        </w:trPr>
        <w:tc>
          <w:tcPr>
            <w:tcW w:w="637" w:type="dxa"/>
          </w:tcPr>
          <w:p w:rsidR="0082646D" w:rsidRPr="002C11E0" w:rsidRDefault="0082646D" w:rsidP="00C92290">
            <w:pPr>
              <w:jc w:val="center"/>
            </w:pPr>
            <w:r w:rsidRPr="002C11E0">
              <w:rPr>
                <w:b/>
              </w:rPr>
              <w:t>1.</w:t>
            </w:r>
          </w:p>
        </w:tc>
        <w:tc>
          <w:tcPr>
            <w:tcW w:w="5245" w:type="dxa"/>
          </w:tcPr>
          <w:p w:rsidR="0082646D" w:rsidRPr="002C11E0" w:rsidRDefault="005F1FFC" w:rsidP="005F1FFC">
            <w:pPr>
              <w:pStyle w:val="Stopka"/>
              <w:rPr>
                <w:sz w:val="20"/>
              </w:rPr>
            </w:pPr>
            <w:r w:rsidRPr="002C11E0">
              <w:rPr>
                <w:bCs/>
                <w:sz w:val="20"/>
              </w:rPr>
              <w:t>Wykonywanie kalibracj</w:t>
            </w:r>
            <w:r w:rsidR="00FE4072" w:rsidRPr="002C11E0">
              <w:rPr>
                <w:bCs/>
                <w:sz w:val="20"/>
              </w:rPr>
              <w:t>i przy zmianie serii odczynnika</w:t>
            </w:r>
            <w:r w:rsidRPr="002C11E0">
              <w:rPr>
                <w:bCs/>
                <w:sz w:val="20"/>
              </w:rPr>
              <w:t xml:space="preserve"> dla wszystkich parametrów </w:t>
            </w:r>
          </w:p>
        </w:tc>
        <w:tc>
          <w:tcPr>
            <w:tcW w:w="3742" w:type="dxa"/>
          </w:tcPr>
          <w:p w:rsidR="0082646D" w:rsidRPr="002C11E0" w:rsidRDefault="0082646D" w:rsidP="005F1FFC">
            <w:pPr>
              <w:rPr>
                <w:iCs/>
              </w:rPr>
            </w:pPr>
          </w:p>
        </w:tc>
        <w:tc>
          <w:tcPr>
            <w:tcW w:w="3913" w:type="dxa"/>
          </w:tcPr>
          <w:p w:rsidR="0082646D" w:rsidRPr="002C11E0" w:rsidRDefault="0082646D" w:rsidP="00C92290">
            <w:pPr>
              <w:rPr>
                <w:iCs/>
              </w:rPr>
            </w:pPr>
          </w:p>
        </w:tc>
      </w:tr>
      <w:tr w:rsidR="0082646D" w:rsidRPr="002C11E0" w:rsidTr="003A5EA2">
        <w:trPr>
          <w:trHeight w:val="693"/>
        </w:trPr>
        <w:tc>
          <w:tcPr>
            <w:tcW w:w="637" w:type="dxa"/>
          </w:tcPr>
          <w:p w:rsidR="0082646D" w:rsidRPr="002C11E0" w:rsidRDefault="0082646D" w:rsidP="00C92290">
            <w:pPr>
              <w:jc w:val="center"/>
              <w:rPr>
                <w:b/>
              </w:rPr>
            </w:pPr>
            <w:r w:rsidRPr="002C11E0">
              <w:rPr>
                <w:b/>
              </w:rPr>
              <w:t>2.</w:t>
            </w:r>
          </w:p>
        </w:tc>
        <w:tc>
          <w:tcPr>
            <w:tcW w:w="5245" w:type="dxa"/>
          </w:tcPr>
          <w:p w:rsidR="0082646D" w:rsidRPr="002C11E0" w:rsidRDefault="005F1FFC" w:rsidP="00C92290">
            <w:pPr>
              <w:snapToGrid w:val="0"/>
              <w:rPr>
                <w:color w:val="000000"/>
                <w:lang w:eastAsia="ar-SA"/>
              </w:rPr>
            </w:pPr>
            <w:r w:rsidRPr="002C11E0">
              <w:rPr>
                <w:bCs/>
              </w:rPr>
              <w:t>Reakcje i odczyt w jednorazowym naczyniu reakcyjnym, bez zastosowania kuwety wielorazowej/komory przepływowej (pomiarowej).</w:t>
            </w:r>
          </w:p>
        </w:tc>
        <w:tc>
          <w:tcPr>
            <w:tcW w:w="3742" w:type="dxa"/>
          </w:tcPr>
          <w:p w:rsidR="0082646D" w:rsidRPr="002C11E0" w:rsidRDefault="0082646D" w:rsidP="005F1FFC">
            <w:pPr>
              <w:rPr>
                <w:color w:val="000000"/>
                <w:lang w:eastAsia="ar-SA"/>
              </w:rPr>
            </w:pPr>
          </w:p>
        </w:tc>
        <w:tc>
          <w:tcPr>
            <w:tcW w:w="3913" w:type="dxa"/>
          </w:tcPr>
          <w:p w:rsidR="0082646D" w:rsidRPr="002C11E0" w:rsidRDefault="0082646D" w:rsidP="00C92290">
            <w:pPr>
              <w:rPr>
                <w:color w:val="000000"/>
                <w:lang w:eastAsia="ar-SA"/>
              </w:rPr>
            </w:pPr>
          </w:p>
        </w:tc>
      </w:tr>
      <w:tr w:rsidR="00FE4072" w:rsidRPr="002C11E0" w:rsidTr="00C63AFA">
        <w:trPr>
          <w:trHeight w:val="397"/>
        </w:trPr>
        <w:tc>
          <w:tcPr>
            <w:tcW w:w="637" w:type="dxa"/>
          </w:tcPr>
          <w:p w:rsidR="00FE4072" w:rsidRPr="002C11E0" w:rsidRDefault="00FE4072" w:rsidP="00FE4072">
            <w:pPr>
              <w:jc w:val="center"/>
            </w:pPr>
            <w:r w:rsidRPr="002C11E0">
              <w:rPr>
                <w:b/>
              </w:rPr>
              <w:t>3.</w:t>
            </w:r>
          </w:p>
        </w:tc>
        <w:tc>
          <w:tcPr>
            <w:tcW w:w="5245" w:type="dxa"/>
          </w:tcPr>
          <w:p w:rsidR="00FE4072" w:rsidRPr="002C11E0" w:rsidRDefault="00FE4072" w:rsidP="00FE4072">
            <w:pPr>
              <w:snapToGrid w:val="0"/>
              <w:rPr>
                <w:color w:val="000000"/>
                <w:lang w:eastAsia="ar-SA"/>
              </w:rPr>
            </w:pPr>
            <w:r w:rsidRPr="002C11E0">
              <w:t>Analizator igłowy, bez konieczności stosowania wymiennych końcówek.</w:t>
            </w:r>
          </w:p>
        </w:tc>
        <w:tc>
          <w:tcPr>
            <w:tcW w:w="3742" w:type="dxa"/>
          </w:tcPr>
          <w:p w:rsidR="00FE4072" w:rsidRPr="002C11E0" w:rsidRDefault="00FE4072" w:rsidP="00FE4072">
            <w:pPr>
              <w:rPr>
                <w:iCs/>
              </w:rPr>
            </w:pPr>
          </w:p>
        </w:tc>
        <w:tc>
          <w:tcPr>
            <w:tcW w:w="3913" w:type="dxa"/>
          </w:tcPr>
          <w:p w:rsidR="00FE4072" w:rsidRPr="002C11E0" w:rsidRDefault="00FE4072" w:rsidP="00FE4072"/>
        </w:tc>
      </w:tr>
      <w:tr w:rsidR="00FE4072" w:rsidRPr="002C11E0" w:rsidTr="003A5EA2">
        <w:trPr>
          <w:trHeight w:val="923"/>
        </w:trPr>
        <w:tc>
          <w:tcPr>
            <w:tcW w:w="637" w:type="dxa"/>
          </w:tcPr>
          <w:p w:rsidR="00FE4072" w:rsidRPr="002C11E0" w:rsidRDefault="00FE4072" w:rsidP="00FE4072">
            <w:pPr>
              <w:jc w:val="center"/>
              <w:rPr>
                <w:b/>
              </w:rPr>
            </w:pPr>
            <w:r w:rsidRPr="002C11E0">
              <w:rPr>
                <w:b/>
              </w:rPr>
              <w:t>4.</w:t>
            </w:r>
          </w:p>
        </w:tc>
        <w:tc>
          <w:tcPr>
            <w:tcW w:w="5245" w:type="dxa"/>
          </w:tcPr>
          <w:p w:rsidR="00FE4072" w:rsidRPr="002C11E0" w:rsidRDefault="00FE4072" w:rsidP="00FE4072">
            <w:r w:rsidRPr="002C11E0">
              <w:t>Analizator używający jeden uniwersalny rodzaj statywów dla wszystkich rodzajów ( surowica, osocze, mocz) i wielkości probówek (także kalibracji i kontroli) oraz próbek rutynowych i citowych.</w:t>
            </w:r>
          </w:p>
          <w:p w:rsidR="00FE4072" w:rsidRPr="002C11E0" w:rsidRDefault="00FE4072" w:rsidP="00FE4072">
            <w:pPr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3742" w:type="dxa"/>
          </w:tcPr>
          <w:p w:rsidR="00FE4072" w:rsidRPr="002C11E0" w:rsidRDefault="00FE4072" w:rsidP="00FE4072">
            <w:pPr>
              <w:rPr>
                <w:iCs/>
              </w:rPr>
            </w:pPr>
          </w:p>
        </w:tc>
        <w:tc>
          <w:tcPr>
            <w:tcW w:w="3913" w:type="dxa"/>
          </w:tcPr>
          <w:p w:rsidR="00FE4072" w:rsidRPr="002C11E0" w:rsidRDefault="00FE4072" w:rsidP="00FE4072">
            <w:pPr>
              <w:snapToGrid w:val="0"/>
            </w:pPr>
          </w:p>
        </w:tc>
      </w:tr>
      <w:tr w:rsidR="00FE4072" w:rsidRPr="002C11E0" w:rsidTr="003A5EA2">
        <w:trPr>
          <w:trHeight w:val="472"/>
        </w:trPr>
        <w:tc>
          <w:tcPr>
            <w:tcW w:w="637" w:type="dxa"/>
          </w:tcPr>
          <w:p w:rsidR="00FE4072" w:rsidRPr="002C11E0" w:rsidRDefault="00FE4072" w:rsidP="00FE4072">
            <w:pPr>
              <w:spacing w:line="360" w:lineRule="auto"/>
              <w:jc w:val="center"/>
              <w:rPr>
                <w:b/>
              </w:rPr>
            </w:pPr>
            <w:r w:rsidRPr="002C11E0">
              <w:rPr>
                <w:b/>
              </w:rPr>
              <w:t>5.</w:t>
            </w:r>
            <w:bookmarkStart w:id="0" w:name="_GoBack"/>
            <w:bookmarkEnd w:id="0"/>
          </w:p>
        </w:tc>
        <w:tc>
          <w:tcPr>
            <w:tcW w:w="5245" w:type="dxa"/>
            <w:vAlign w:val="center"/>
          </w:tcPr>
          <w:p w:rsidR="00FE4072" w:rsidRPr="002C11E0" w:rsidRDefault="00FE4072" w:rsidP="00FE4072">
            <w:r w:rsidRPr="002C11E0">
              <w:rPr>
                <w:bCs/>
              </w:rPr>
              <w:t>Objętość martwa nie większa niż 50 ul.</w:t>
            </w:r>
          </w:p>
        </w:tc>
        <w:tc>
          <w:tcPr>
            <w:tcW w:w="3742" w:type="dxa"/>
          </w:tcPr>
          <w:p w:rsidR="00FE4072" w:rsidRPr="002C11E0" w:rsidRDefault="00FE4072" w:rsidP="00FE4072">
            <w:pPr>
              <w:rPr>
                <w:iCs/>
              </w:rPr>
            </w:pPr>
          </w:p>
        </w:tc>
        <w:tc>
          <w:tcPr>
            <w:tcW w:w="3913" w:type="dxa"/>
          </w:tcPr>
          <w:p w:rsidR="00FE4072" w:rsidRPr="002C11E0" w:rsidRDefault="00FE4072" w:rsidP="00FE4072"/>
        </w:tc>
      </w:tr>
      <w:tr w:rsidR="00FE4072" w:rsidRPr="002C11E0" w:rsidTr="003A5EA2">
        <w:trPr>
          <w:trHeight w:val="833"/>
        </w:trPr>
        <w:tc>
          <w:tcPr>
            <w:tcW w:w="637" w:type="dxa"/>
          </w:tcPr>
          <w:p w:rsidR="00FE4072" w:rsidRPr="002C11E0" w:rsidRDefault="00FE4072" w:rsidP="00FE4072">
            <w:pPr>
              <w:spacing w:line="360" w:lineRule="auto"/>
              <w:jc w:val="center"/>
              <w:rPr>
                <w:b/>
              </w:rPr>
            </w:pPr>
            <w:r w:rsidRPr="002C11E0">
              <w:rPr>
                <w:b/>
              </w:rPr>
              <w:t>6.</w:t>
            </w:r>
          </w:p>
        </w:tc>
        <w:tc>
          <w:tcPr>
            <w:tcW w:w="5245" w:type="dxa"/>
          </w:tcPr>
          <w:p w:rsidR="00FE4072" w:rsidRPr="002C11E0" w:rsidRDefault="00FE4072" w:rsidP="00FE4072">
            <w:pPr>
              <w:snapToGrid w:val="0"/>
              <w:rPr>
                <w:color w:val="000000"/>
                <w:lang w:eastAsia="ar-SA"/>
              </w:rPr>
            </w:pPr>
            <w:r w:rsidRPr="002C11E0">
              <w:t>Czas potrzebny na wykonanie przez personel laboratorium codziennych czynności konserwacyjnych (zgodny z instrukcją obsługi aparatu) maksymalnie 10 min</w:t>
            </w:r>
          </w:p>
        </w:tc>
        <w:tc>
          <w:tcPr>
            <w:tcW w:w="3742" w:type="dxa"/>
          </w:tcPr>
          <w:p w:rsidR="00FE4072" w:rsidRPr="002C11E0" w:rsidRDefault="00FE4072" w:rsidP="00FE4072">
            <w:pPr>
              <w:rPr>
                <w:iCs/>
              </w:rPr>
            </w:pPr>
          </w:p>
        </w:tc>
        <w:tc>
          <w:tcPr>
            <w:tcW w:w="3913" w:type="dxa"/>
          </w:tcPr>
          <w:p w:rsidR="00FE4072" w:rsidRPr="002C11E0" w:rsidRDefault="00FE4072" w:rsidP="00FE4072">
            <w:pPr>
              <w:snapToGrid w:val="0"/>
            </w:pPr>
          </w:p>
          <w:p w:rsidR="00C63AFA" w:rsidRPr="002C11E0" w:rsidRDefault="00C63AFA" w:rsidP="00FE4072">
            <w:pPr>
              <w:snapToGrid w:val="0"/>
            </w:pPr>
          </w:p>
          <w:p w:rsidR="00C63AFA" w:rsidRPr="002C11E0" w:rsidRDefault="00C63AFA" w:rsidP="00FE4072">
            <w:pPr>
              <w:snapToGrid w:val="0"/>
            </w:pPr>
          </w:p>
          <w:p w:rsidR="00C63AFA" w:rsidRPr="002C11E0" w:rsidRDefault="00C63AFA" w:rsidP="00FE4072">
            <w:pPr>
              <w:snapToGrid w:val="0"/>
            </w:pPr>
          </w:p>
        </w:tc>
      </w:tr>
    </w:tbl>
    <w:p w:rsidR="00C63AFA" w:rsidRDefault="00C63AFA" w:rsidP="00C63AFA"/>
    <w:p w:rsidR="00C63AFA" w:rsidRDefault="00C63AFA" w:rsidP="00C63AFA">
      <w:pPr>
        <w:spacing w:line="360" w:lineRule="auto"/>
        <w:rPr>
          <w:sz w:val="22"/>
        </w:rPr>
      </w:pPr>
      <w:r>
        <w:rPr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:rsidR="00C63AFA" w:rsidRDefault="00C63AFA" w:rsidP="00C63AFA">
      <w:pPr>
        <w:ind w:left="5040"/>
        <w:jc w:val="right"/>
        <w:rPr>
          <w:sz w:val="22"/>
        </w:rPr>
      </w:pPr>
      <w:r>
        <w:rPr>
          <w:sz w:val="22"/>
        </w:rPr>
        <w:t>………………………………………………</w:t>
      </w:r>
    </w:p>
    <w:p w:rsidR="00C63AFA" w:rsidRPr="0086435B" w:rsidRDefault="00C63AFA" w:rsidP="00C63AFA">
      <w:pPr>
        <w:autoSpaceDE w:val="0"/>
        <w:adjustRightInd w:val="0"/>
        <w:jc w:val="right"/>
        <w:rPr>
          <w:sz w:val="18"/>
          <w:szCs w:val="18"/>
        </w:rPr>
      </w:pPr>
      <w:r w:rsidRPr="0086435B">
        <w:rPr>
          <w:sz w:val="18"/>
          <w:szCs w:val="18"/>
        </w:rPr>
        <w:t>podpisy osób wskazanych w dokumencie uprawniającym do</w:t>
      </w:r>
    </w:p>
    <w:p w:rsidR="00C63AFA" w:rsidRPr="0086435B" w:rsidRDefault="00C63AFA" w:rsidP="00C63AFA">
      <w:pPr>
        <w:autoSpaceDE w:val="0"/>
        <w:adjustRightInd w:val="0"/>
        <w:jc w:val="right"/>
        <w:rPr>
          <w:sz w:val="18"/>
          <w:szCs w:val="18"/>
        </w:rPr>
      </w:pPr>
      <w:r w:rsidRPr="0086435B">
        <w:rPr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:rsidR="00C63AFA" w:rsidRPr="0086435B" w:rsidRDefault="00C63AFA" w:rsidP="00C63AFA">
      <w:pPr>
        <w:autoSpaceDE w:val="0"/>
        <w:adjustRightInd w:val="0"/>
        <w:jc w:val="right"/>
        <w:rPr>
          <w:color w:val="000000"/>
          <w:sz w:val="18"/>
          <w:szCs w:val="18"/>
        </w:rPr>
      </w:pPr>
      <w:r w:rsidRPr="0086435B">
        <w:rPr>
          <w:sz w:val="18"/>
          <w:szCs w:val="18"/>
        </w:rPr>
        <w:t xml:space="preserve">                                             pełnomocnictwo</w:t>
      </w:r>
    </w:p>
    <w:p w:rsidR="00C63AFA" w:rsidRDefault="00C63AFA" w:rsidP="00C63AFA">
      <w:pPr>
        <w:pStyle w:val="FR4"/>
        <w:spacing w:line="240" w:lineRule="auto"/>
        <w:ind w:left="0" w:firstLine="0"/>
      </w:pPr>
    </w:p>
    <w:p w:rsidR="004D7D86" w:rsidRDefault="004D7D86"/>
    <w:sectPr w:rsidR="004D7D86" w:rsidSect="002C11E0">
      <w:footerReference w:type="even" r:id="rId6"/>
      <w:footerReference w:type="default" r:id="rId7"/>
      <w:pgSz w:w="16840" w:h="11907" w:orient="landscape"/>
      <w:pgMar w:top="851" w:right="851" w:bottom="709" w:left="851" w:header="708" w:footer="1021" w:gutter="0"/>
      <w:pgNumType w:start="19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B0D" w:rsidRDefault="00F66B0D">
      <w:r>
        <w:separator/>
      </w:r>
    </w:p>
  </w:endnote>
  <w:endnote w:type="continuationSeparator" w:id="0">
    <w:p w:rsidR="00F66B0D" w:rsidRDefault="00F6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A09" w:rsidRDefault="003D4A0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4A09" w:rsidRDefault="003D4A0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4A09" w:rsidRDefault="003D4A09">
    <w:pPr>
      <w:pStyle w:val="Stopka"/>
      <w:jc w:val="center"/>
    </w:pPr>
    <w:r>
      <w:t>1</w:t>
    </w:r>
  </w:p>
  <w:p w:rsidR="003D4A09" w:rsidRDefault="003D4A0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B0D" w:rsidRDefault="00F66B0D">
      <w:r>
        <w:separator/>
      </w:r>
    </w:p>
  </w:footnote>
  <w:footnote w:type="continuationSeparator" w:id="0">
    <w:p w:rsidR="00F66B0D" w:rsidRDefault="00F66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07D"/>
    <w:rsid w:val="000125B2"/>
    <w:rsid w:val="00075C38"/>
    <w:rsid w:val="000D4137"/>
    <w:rsid w:val="000E6A7F"/>
    <w:rsid w:val="001110D3"/>
    <w:rsid w:val="00137BAF"/>
    <w:rsid w:val="00142004"/>
    <w:rsid w:val="00167A1B"/>
    <w:rsid w:val="001837EA"/>
    <w:rsid w:val="001B1EB0"/>
    <w:rsid w:val="00254D34"/>
    <w:rsid w:val="00257079"/>
    <w:rsid w:val="002C11E0"/>
    <w:rsid w:val="00313E61"/>
    <w:rsid w:val="00371864"/>
    <w:rsid w:val="003A5EA2"/>
    <w:rsid w:val="003A6CE3"/>
    <w:rsid w:val="003B6727"/>
    <w:rsid w:val="003D4A09"/>
    <w:rsid w:val="004D7D86"/>
    <w:rsid w:val="00567DE6"/>
    <w:rsid w:val="005C20F9"/>
    <w:rsid w:val="005D5C1C"/>
    <w:rsid w:val="005F1FFC"/>
    <w:rsid w:val="00601972"/>
    <w:rsid w:val="006377F8"/>
    <w:rsid w:val="00643D09"/>
    <w:rsid w:val="0065331A"/>
    <w:rsid w:val="00662D0D"/>
    <w:rsid w:val="0067170F"/>
    <w:rsid w:val="006953A1"/>
    <w:rsid w:val="006A27A0"/>
    <w:rsid w:val="006C6ECF"/>
    <w:rsid w:val="0070607D"/>
    <w:rsid w:val="007265D7"/>
    <w:rsid w:val="00766B66"/>
    <w:rsid w:val="0077067E"/>
    <w:rsid w:val="007C3FD0"/>
    <w:rsid w:val="007E679F"/>
    <w:rsid w:val="007F3CC9"/>
    <w:rsid w:val="008103A1"/>
    <w:rsid w:val="00823D3C"/>
    <w:rsid w:val="0082646D"/>
    <w:rsid w:val="00894B08"/>
    <w:rsid w:val="008B3BF9"/>
    <w:rsid w:val="008E561E"/>
    <w:rsid w:val="0094057A"/>
    <w:rsid w:val="009416BE"/>
    <w:rsid w:val="00953666"/>
    <w:rsid w:val="009D0EA4"/>
    <w:rsid w:val="00A177EA"/>
    <w:rsid w:val="00A2277F"/>
    <w:rsid w:val="00A47109"/>
    <w:rsid w:val="00AA4152"/>
    <w:rsid w:val="00AA5CBD"/>
    <w:rsid w:val="00B11628"/>
    <w:rsid w:val="00B153B1"/>
    <w:rsid w:val="00B23C85"/>
    <w:rsid w:val="00B449DF"/>
    <w:rsid w:val="00BB1B40"/>
    <w:rsid w:val="00BE5FA7"/>
    <w:rsid w:val="00C41727"/>
    <w:rsid w:val="00C44333"/>
    <w:rsid w:val="00C63AFA"/>
    <w:rsid w:val="00C92290"/>
    <w:rsid w:val="00D166C5"/>
    <w:rsid w:val="00D53EF5"/>
    <w:rsid w:val="00D56FE9"/>
    <w:rsid w:val="00D851FB"/>
    <w:rsid w:val="00DD4128"/>
    <w:rsid w:val="00E50531"/>
    <w:rsid w:val="00E51198"/>
    <w:rsid w:val="00E5798D"/>
    <w:rsid w:val="00E8055B"/>
    <w:rsid w:val="00ED237F"/>
    <w:rsid w:val="00ED724F"/>
    <w:rsid w:val="00F02C3F"/>
    <w:rsid w:val="00F25C63"/>
    <w:rsid w:val="00F643B0"/>
    <w:rsid w:val="00F66B0D"/>
    <w:rsid w:val="00FE4072"/>
    <w:rsid w:val="00FF6B9A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1F2D2"/>
  <w15:chartTrackingRefBased/>
  <w15:docId w15:val="{5DC5EE73-F0C9-4CBB-A9BC-90D3CAEAD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pPr>
      <w:keepNext/>
      <w:ind w:firstLine="567"/>
      <w:outlineLvl w:val="2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slnaczcionkaakapitu"/>
  </w:style>
  <w:style w:type="character" w:customStyle="1" w:styleId="Domyslnaczcionkaakapitu">
    <w:name w:val="Domyslna czcionka akapitu"/>
  </w:style>
  <w:style w:type="paragraph" w:customStyle="1" w:styleId="Naglwekstrony">
    <w:name w:val="Naglówek strony"/>
    <w:basedOn w:val="Normalny"/>
    <w:pPr>
      <w:widowControl w:val="0"/>
      <w:tabs>
        <w:tab w:val="center" w:pos="4536"/>
        <w:tab w:val="right" w:pos="9072"/>
      </w:tabs>
    </w:pPr>
    <w:rPr>
      <w:sz w:val="28"/>
    </w:rPr>
  </w:style>
  <w:style w:type="paragraph" w:styleId="Stopka">
    <w:name w:val="footer"/>
    <w:basedOn w:val="Normalny"/>
    <w:link w:val="StopkaZnak"/>
    <w:uiPriority w:val="99"/>
    <w:pPr>
      <w:widowControl w:val="0"/>
      <w:tabs>
        <w:tab w:val="center" w:pos="4536"/>
        <w:tab w:val="right" w:pos="9072"/>
      </w:tabs>
    </w:pPr>
    <w:rPr>
      <w:sz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/>
      <w:b/>
      <w:sz w:val="22"/>
    </w:rPr>
  </w:style>
  <w:style w:type="character" w:customStyle="1" w:styleId="StopkaZnak">
    <w:name w:val="Stopka Znak"/>
    <w:link w:val="Stopka"/>
    <w:uiPriority w:val="99"/>
    <w:rsid w:val="00313E61"/>
    <w:rPr>
      <w:sz w:val="28"/>
    </w:rPr>
  </w:style>
  <w:style w:type="paragraph" w:styleId="Tekstdymka">
    <w:name w:val="Balloon Text"/>
    <w:basedOn w:val="Normalny"/>
    <w:link w:val="TekstdymkaZnak"/>
    <w:rsid w:val="00E579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5798D"/>
    <w:rPr>
      <w:rFonts w:ascii="Tahoma" w:hAnsi="Tahoma" w:cs="Tahoma"/>
      <w:sz w:val="16"/>
      <w:szCs w:val="16"/>
    </w:rPr>
  </w:style>
  <w:style w:type="paragraph" w:customStyle="1" w:styleId="FR4">
    <w:name w:val="FR4"/>
    <w:rsid w:val="00C63AFA"/>
    <w:pPr>
      <w:widowControl w:val="0"/>
      <w:autoSpaceDE w:val="0"/>
      <w:autoSpaceDN w:val="0"/>
      <w:adjustRightInd w:val="0"/>
      <w:spacing w:line="320" w:lineRule="auto"/>
      <w:ind w:left="720" w:hanging="360"/>
    </w:pPr>
    <w:rPr>
      <w:sz w:val="18"/>
      <w:szCs w:val="18"/>
    </w:rPr>
  </w:style>
  <w:style w:type="paragraph" w:customStyle="1" w:styleId="Standard">
    <w:name w:val="Standard"/>
    <w:rsid w:val="00C63AFA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596</Words>
  <Characters>4916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Przetarg znak ZZP/50/1/97/98 (II etap)</vt:lpstr>
      <vt:lpstr>Przetarg znak ZZP/50/1/97/98 (II etap)</vt:lpstr>
    </vt:vector>
  </TitlesOfParts>
  <Company>Abbott Laboratories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znak ZZP/50/1/97/98 (II etap)</dc:title>
  <dc:subject/>
  <dc:creator>s</dc:creator>
  <cp:keywords/>
  <cp:lastModifiedBy>zampub2</cp:lastModifiedBy>
  <cp:revision>6</cp:revision>
  <cp:lastPrinted>2018-04-11T12:13:00Z</cp:lastPrinted>
  <dcterms:created xsi:type="dcterms:W3CDTF">2018-04-10T09:33:00Z</dcterms:created>
  <dcterms:modified xsi:type="dcterms:W3CDTF">2018-04-16T09:19:00Z</dcterms:modified>
</cp:coreProperties>
</file>